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9B423" w14:textId="77777777" w:rsidR="00DE7379" w:rsidRPr="00390A28" w:rsidRDefault="00DE7379" w:rsidP="00DE7379">
      <w:pPr>
        <w:jc w:val="center"/>
        <w:rPr>
          <w:rFonts w:ascii="Times New Roman" w:hAnsi="Times New Roman" w:cs="Palatino"/>
          <w:b/>
          <w:bCs/>
          <w:szCs w:val="26"/>
        </w:rPr>
      </w:pPr>
      <w:r w:rsidRPr="00390A28">
        <w:rPr>
          <w:rFonts w:ascii="Times New Roman" w:hAnsi="Times New Roman" w:cs="Palatino"/>
          <w:b/>
          <w:bCs/>
          <w:szCs w:val="26"/>
        </w:rPr>
        <w:t>Practice Note 2:</w:t>
      </w:r>
    </w:p>
    <w:p w14:paraId="6F00585C" w14:textId="77777777" w:rsidR="00DE7379" w:rsidRPr="00390A28" w:rsidRDefault="00DE7379" w:rsidP="00DE7379">
      <w:pPr>
        <w:jc w:val="center"/>
        <w:rPr>
          <w:rFonts w:ascii="Times New Roman" w:hAnsi="Times New Roman" w:cs="Palatino"/>
          <w:b/>
          <w:bCs/>
          <w:szCs w:val="26"/>
        </w:rPr>
      </w:pPr>
      <w:r w:rsidRPr="00390A28">
        <w:rPr>
          <w:rFonts w:ascii="Times New Roman" w:hAnsi="Times New Roman" w:cs="Palatino"/>
          <w:b/>
          <w:bCs/>
          <w:szCs w:val="26"/>
        </w:rPr>
        <w:t>Appeals</w:t>
      </w:r>
    </w:p>
    <w:p w14:paraId="7B4AC3B8" w14:textId="77777777" w:rsidR="00DE7379" w:rsidRPr="00390A28" w:rsidRDefault="00DE7379" w:rsidP="00DE7379">
      <w:pPr>
        <w:rPr>
          <w:rFonts w:ascii="Times New Roman" w:hAnsi="Times New Roman" w:cs="Palatino"/>
          <w:b/>
          <w:bCs/>
          <w:szCs w:val="26"/>
        </w:rPr>
      </w:pPr>
      <w:r w:rsidRPr="00390A28">
        <w:rPr>
          <w:rFonts w:ascii="Times New Roman" w:hAnsi="Times New Roman" w:cs="Palatino"/>
          <w:b/>
          <w:bCs/>
          <w:szCs w:val="26"/>
        </w:rPr>
        <w:t>Introduction</w:t>
      </w:r>
    </w:p>
    <w:p w14:paraId="7E43653F" w14:textId="77777777" w:rsidR="00DE7379" w:rsidRPr="00390A28" w:rsidRDefault="00DE7379" w:rsidP="00DE7379">
      <w:pPr>
        <w:rPr>
          <w:rFonts w:ascii="Times New Roman" w:hAnsi="Times New Roman" w:cs="Palatino"/>
          <w:bCs/>
          <w:szCs w:val="26"/>
        </w:rPr>
      </w:pPr>
      <w:r w:rsidRPr="00390A28">
        <w:rPr>
          <w:rFonts w:ascii="Times New Roman" w:hAnsi="Times New Roman" w:cs="Palatino"/>
          <w:bCs/>
          <w:szCs w:val="26"/>
        </w:rPr>
        <w:t xml:space="preserve">In any matter before the ITNJ, the ITNJ has the discretion to vary the operation of a Practice Note by direction or order. </w:t>
      </w:r>
    </w:p>
    <w:p w14:paraId="7A902861" w14:textId="77777777" w:rsidR="00DE7379" w:rsidRPr="00390A28" w:rsidRDefault="00DE7379" w:rsidP="00DE7379">
      <w:pPr>
        <w:rPr>
          <w:rFonts w:ascii="Times New Roman" w:hAnsi="Times New Roman" w:cs="Palatino"/>
          <w:bCs/>
          <w:szCs w:val="26"/>
        </w:rPr>
      </w:pPr>
      <w:r w:rsidRPr="00390A28">
        <w:rPr>
          <w:rFonts w:ascii="Times New Roman" w:hAnsi="Times New Roman" w:cs="Palatino"/>
          <w:bCs/>
          <w:szCs w:val="26"/>
        </w:rPr>
        <w:t xml:space="preserve">This Practice Note should be read in conjunction with the Policies and Procedures and all other Practice Notes issued by the ITNJ. </w:t>
      </w:r>
    </w:p>
    <w:p w14:paraId="076A133E" w14:textId="77777777" w:rsidR="00DE7379" w:rsidRPr="00390A28" w:rsidRDefault="00DE7379" w:rsidP="00DE7379">
      <w:pPr>
        <w:rPr>
          <w:rFonts w:ascii="Times New Roman" w:hAnsi="Times New Roman" w:cs="Palatino"/>
          <w:b/>
          <w:bCs/>
          <w:szCs w:val="26"/>
        </w:rPr>
      </w:pPr>
      <w:r w:rsidRPr="00390A28">
        <w:rPr>
          <w:rFonts w:ascii="Times New Roman" w:hAnsi="Times New Roman" w:cs="Palatino"/>
          <w:b/>
          <w:bCs/>
          <w:szCs w:val="26"/>
        </w:rPr>
        <w:t>Application for Appeal</w:t>
      </w:r>
    </w:p>
    <w:p w14:paraId="0B70EAB2" w14:textId="77777777" w:rsidR="00DE7379" w:rsidRPr="00390A28" w:rsidRDefault="00DE7379" w:rsidP="00DE7379">
      <w:pPr>
        <w:rPr>
          <w:rFonts w:ascii="Times New Roman" w:hAnsi="Times New Roman" w:cs="Palatino"/>
          <w:bCs/>
          <w:szCs w:val="26"/>
        </w:rPr>
      </w:pPr>
      <w:r w:rsidRPr="00390A28">
        <w:rPr>
          <w:rFonts w:ascii="Times New Roman" w:hAnsi="Times New Roman" w:cs="Palatino"/>
          <w:bCs/>
          <w:szCs w:val="26"/>
        </w:rPr>
        <w:t xml:space="preserve">Every Application for Appeal should be made in accordance with </w:t>
      </w:r>
      <w:r w:rsidRPr="00390A28">
        <w:rPr>
          <w:rFonts w:ascii="Times New Roman" w:hAnsi="Times New Roman" w:cs="Palatino"/>
          <w:b/>
          <w:bCs/>
          <w:szCs w:val="26"/>
        </w:rPr>
        <w:t>Form 3</w:t>
      </w:r>
      <w:r w:rsidR="00AA6C51">
        <w:rPr>
          <w:rFonts w:ascii="Times New Roman" w:hAnsi="Times New Roman" w:cs="Palatino"/>
          <w:b/>
          <w:bCs/>
          <w:szCs w:val="26"/>
        </w:rPr>
        <w:t xml:space="preserve"> (See Annexure A to this Practice Note)</w:t>
      </w:r>
      <w:r w:rsidRPr="00390A28">
        <w:rPr>
          <w:rFonts w:ascii="Times New Roman" w:hAnsi="Times New Roman" w:cs="Palatino"/>
          <w:bCs/>
          <w:szCs w:val="26"/>
        </w:rPr>
        <w:t xml:space="preserve">. </w:t>
      </w:r>
    </w:p>
    <w:p w14:paraId="05E878D9" w14:textId="77777777" w:rsidR="00DE7379" w:rsidRPr="00390A28" w:rsidRDefault="00DE7379" w:rsidP="00DE7379">
      <w:pPr>
        <w:rPr>
          <w:rFonts w:ascii="Times New Roman" w:hAnsi="Times New Roman" w:cs="Verdana"/>
          <w:szCs w:val="22"/>
        </w:rPr>
      </w:pPr>
      <w:r w:rsidRPr="00390A28">
        <w:rPr>
          <w:rFonts w:ascii="Times New Roman" w:hAnsi="Times New Roman" w:cs="Verdana"/>
          <w:szCs w:val="22"/>
        </w:rPr>
        <w:t>For the purpose of filing applications, the ITNJ’s details are as follows</w:t>
      </w:r>
      <w:proofErr w:type="gramStart"/>
      <w:r w:rsidRPr="00390A28">
        <w:rPr>
          <w:rFonts w:ascii="Times New Roman" w:hAnsi="Times New Roman" w:cs="Verdana"/>
          <w:szCs w:val="22"/>
        </w:rPr>
        <w:t>:-</w:t>
      </w:r>
      <w:proofErr w:type="gramEnd"/>
    </w:p>
    <w:p w14:paraId="4270C990" w14:textId="77777777" w:rsidR="008A6573" w:rsidRPr="00D843F0" w:rsidRDefault="008A6573" w:rsidP="008A6573">
      <w:pPr>
        <w:rPr>
          <w:rFonts w:ascii="Times New Roman" w:hAnsi="Times New Roman" w:cs="Verdana"/>
          <w:szCs w:val="22"/>
          <w:highlight w:val="green"/>
        </w:rPr>
      </w:pPr>
      <w:r w:rsidRPr="00D843F0">
        <w:rPr>
          <w:rFonts w:ascii="Times New Roman" w:hAnsi="Times New Roman" w:cs="Verdana"/>
          <w:szCs w:val="22"/>
          <w:highlight w:val="green"/>
        </w:rPr>
        <w:t>Post??</w:t>
      </w:r>
    </w:p>
    <w:p w14:paraId="7BF18402" w14:textId="77777777" w:rsidR="008A6573" w:rsidRPr="00D843F0" w:rsidRDefault="008A6573" w:rsidP="008A6573">
      <w:pPr>
        <w:rPr>
          <w:rFonts w:ascii="Times New Roman" w:hAnsi="Times New Roman" w:cs="Verdana"/>
          <w:szCs w:val="22"/>
          <w:highlight w:val="green"/>
        </w:rPr>
      </w:pPr>
      <w:r w:rsidRPr="00D843F0">
        <w:rPr>
          <w:rFonts w:ascii="Times New Roman" w:hAnsi="Times New Roman" w:cs="Verdana"/>
          <w:szCs w:val="22"/>
          <w:highlight w:val="green"/>
        </w:rPr>
        <w:t>Fax??</w:t>
      </w:r>
    </w:p>
    <w:p w14:paraId="7B6233BD" w14:textId="77777777" w:rsidR="008A6573" w:rsidRPr="00D843F0" w:rsidRDefault="008A6573" w:rsidP="008A6573">
      <w:pPr>
        <w:rPr>
          <w:rFonts w:ascii="Times New Roman" w:hAnsi="Times New Roman" w:cs="Verdana"/>
          <w:szCs w:val="22"/>
        </w:rPr>
      </w:pPr>
      <w:r w:rsidRPr="009F78AE">
        <w:rPr>
          <w:rFonts w:ascii="Times New Roman" w:hAnsi="Times New Roman" w:cs="Verdana"/>
          <w:szCs w:val="22"/>
        </w:rPr>
        <w:t>Email</w:t>
      </w:r>
      <w:r>
        <w:rPr>
          <w:rFonts w:ascii="Times New Roman" w:hAnsi="Times New Roman" w:cs="Verdana"/>
          <w:szCs w:val="22"/>
        </w:rPr>
        <w:t>: Registrar@itnj.org</w:t>
      </w:r>
    </w:p>
    <w:p w14:paraId="0167D2F9" w14:textId="77777777" w:rsidR="00DE7379" w:rsidRPr="00390A28" w:rsidRDefault="00DE7379" w:rsidP="00DE7379">
      <w:pPr>
        <w:rPr>
          <w:rFonts w:ascii="Times New Roman" w:hAnsi="Times New Roman" w:cs="Verdana"/>
          <w:szCs w:val="22"/>
        </w:rPr>
      </w:pPr>
      <w:bookmarkStart w:id="0" w:name="_GoBack"/>
      <w:bookmarkEnd w:id="0"/>
      <w:r w:rsidRPr="00390A28">
        <w:rPr>
          <w:rFonts w:ascii="Times New Roman" w:hAnsi="Times New Roman" w:cs="Verdana"/>
          <w:szCs w:val="22"/>
        </w:rPr>
        <w:t>If an Application for Appeal is not mad</w:t>
      </w:r>
      <w:r w:rsidR="00390A28">
        <w:rPr>
          <w:rFonts w:ascii="Times New Roman" w:hAnsi="Times New Roman" w:cs="Verdana"/>
          <w:szCs w:val="22"/>
        </w:rPr>
        <w:t xml:space="preserve">e in accordance with Form 3, </w:t>
      </w:r>
      <w:r w:rsidRPr="00390A28">
        <w:rPr>
          <w:rFonts w:ascii="Times New Roman" w:hAnsi="Times New Roman" w:cs="Verdana"/>
          <w:szCs w:val="22"/>
        </w:rPr>
        <w:t>Policies and Procedures</w:t>
      </w:r>
      <w:r w:rsidR="00390A28">
        <w:rPr>
          <w:rFonts w:ascii="Times New Roman" w:hAnsi="Times New Roman" w:cs="Verdana"/>
          <w:szCs w:val="22"/>
        </w:rPr>
        <w:t xml:space="preserve"> and all Practice Notes</w:t>
      </w:r>
      <w:r w:rsidRPr="00390A28">
        <w:rPr>
          <w:rFonts w:ascii="Times New Roman" w:hAnsi="Times New Roman" w:cs="Verdana"/>
          <w:szCs w:val="22"/>
        </w:rPr>
        <w:t xml:space="preserve">, the ITNJ has the discretion to not consider this application. </w:t>
      </w:r>
    </w:p>
    <w:p w14:paraId="071550EF" w14:textId="77777777" w:rsidR="00DE7379" w:rsidRPr="00390A28" w:rsidRDefault="00DE7379" w:rsidP="00DE7379">
      <w:pPr>
        <w:rPr>
          <w:rFonts w:ascii="Times New Roman" w:hAnsi="Times New Roman" w:cs="Verdana"/>
          <w:szCs w:val="22"/>
        </w:rPr>
      </w:pPr>
      <w:r w:rsidRPr="00390A28">
        <w:rPr>
          <w:rFonts w:ascii="Times New Roman" w:hAnsi="Times New Roman" w:cs="Verdana"/>
          <w:szCs w:val="22"/>
        </w:rPr>
        <w:t xml:space="preserve">If an Application for Appeal is not made within the </w:t>
      </w:r>
      <w:r w:rsidR="00093AB8" w:rsidRPr="00390A28">
        <w:rPr>
          <w:rFonts w:ascii="Times New Roman" w:hAnsi="Times New Roman" w:cs="Verdana"/>
          <w:szCs w:val="22"/>
        </w:rPr>
        <w:t>timeframe</w:t>
      </w:r>
      <w:r w:rsidRPr="00390A28">
        <w:rPr>
          <w:rFonts w:ascii="Times New Roman" w:hAnsi="Times New Roman" w:cs="Verdana"/>
          <w:szCs w:val="22"/>
        </w:rPr>
        <w:t xml:space="preserve"> set out in part 6 of the Policies and Procedures, an explanation for this delay must be provided. If the delay is substantia</w:t>
      </w:r>
      <w:r w:rsidR="00093AB8" w:rsidRPr="00390A28">
        <w:rPr>
          <w:rFonts w:ascii="Times New Roman" w:hAnsi="Times New Roman" w:cs="Verdana"/>
          <w:szCs w:val="22"/>
        </w:rPr>
        <w:t>l, the ITNJ must be provided with</w:t>
      </w:r>
      <w:r w:rsidRPr="00390A28">
        <w:rPr>
          <w:rFonts w:ascii="Times New Roman" w:hAnsi="Times New Roman" w:cs="Verdana"/>
          <w:szCs w:val="22"/>
        </w:rPr>
        <w:t xml:space="preserve"> ample explanation as to why the Application was not made sooner. If the ITNJ is satisfied that the extension of time should be allowed, the Application for Appeal will be considered. However the ITNJ has the discretion to refuse an Application for Appeal on the basis that the time for lodging this Application has exp</w:t>
      </w:r>
      <w:r w:rsidR="00093AB8" w:rsidRPr="00390A28">
        <w:rPr>
          <w:rFonts w:ascii="Times New Roman" w:hAnsi="Times New Roman" w:cs="Verdana"/>
          <w:szCs w:val="22"/>
        </w:rPr>
        <w:t xml:space="preserve">ired, or on the basis that </w:t>
      </w:r>
      <w:r w:rsidR="00390A28">
        <w:rPr>
          <w:rFonts w:ascii="Times New Roman" w:hAnsi="Times New Roman" w:cs="Verdana"/>
          <w:szCs w:val="22"/>
        </w:rPr>
        <w:t xml:space="preserve">the Application for </w:t>
      </w:r>
      <w:proofErr w:type="gramStart"/>
      <w:r w:rsidR="00390A28">
        <w:rPr>
          <w:rFonts w:ascii="Times New Roman" w:hAnsi="Times New Roman" w:cs="Verdana"/>
          <w:szCs w:val="22"/>
        </w:rPr>
        <w:t xml:space="preserve">Appeal </w:t>
      </w:r>
      <w:r w:rsidR="00093AB8" w:rsidRPr="00390A28">
        <w:rPr>
          <w:rFonts w:ascii="Times New Roman" w:hAnsi="Times New Roman" w:cs="Verdana"/>
          <w:szCs w:val="22"/>
        </w:rPr>
        <w:t xml:space="preserve"> is</w:t>
      </w:r>
      <w:proofErr w:type="gramEnd"/>
      <w:r w:rsidR="00093AB8" w:rsidRPr="00390A28">
        <w:rPr>
          <w:rFonts w:ascii="Times New Roman" w:hAnsi="Times New Roman" w:cs="Verdana"/>
          <w:szCs w:val="22"/>
        </w:rPr>
        <w:t xml:space="preserve"> an abuse of process.</w:t>
      </w:r>
    </w:p>
    <w:p w14:paraId="57CE9653" w14:textId="77777777" w:rsidR="00DE7379" w:rsidRPr="00390A28" w:rsidRDefault="00DE7379" w:rsidP="00DE7379">
      <w:pPr>
        <w:rPr>
          <w:rFonts w:ascii="Times New Roman" w:hAnsi="Times New Roman" w:cs="Palatino"/>
          <w:b/>
          <w:bCs/>
          <w:szCs w:val="26"/>
        </w:rPr>
      </w:pPr>
      <w:r w:rsidRPr="00390A28">
        <w:rPr>
          <w:rFonts w:ascii="Times New Roman" w:hAnsi="Times New Roman" w:cs="Palatino"/>
          <w:b/>
          <w:bCs/>
          <w:szCs w:val="26"/>
        </w:rPr>
        <w:t>Service of Application for Appeal</w:t>
      </w:r>
    </w:p>
    <w:p w14:paraId="2B69C7A8" w14:textId="77777777" w:rsidR="00FF1584" w:rsidRPr="00390A28" w:rsidRDefault="00DE7379" w:rsidP="00DE7379">
      <w:pPr>
        <w:rPr>
          <w:rFonts w:ascii="Times New Roman" w:hAnsi="Times New Roman" w:cs="Palatino"/>
          <w:bCs/>
          <w:szCs w:val="26"/>
        </w:rPr>
      </w:pPr>
      <w:r w:rsidRPr="00390A28">
        <w:rPr>
          <w:rFonts w:ascii="Times New Roman" w:hAnsi="Times New Roman" w:cs="Palatino"/>
          <w:bCs/>
          <w:szCs w:val="26"/>
        </w:rPr>
        <w:t xml:space="preserve">Service of the Application for Appeal must be made in accordance with Part 6, paragraph 6.02 of the Policies and Procedures. </w:t>
      </w:r>
    </w:p>
    <w:p w14:paraId="141D3D91" w14:textId="77777777" w:rsidR="00FF1584" w:rsidRPr="00390A28" w:rsidRDefault="00FF1584" w:rsidP="00DE7379">
      <w:pPr>
        <w:rPr>
          <w:rFonts w:ascii="Times New Roman" w:hAnsi="Times New Roman" w:cs="Palatino"/>
          <w:b/>
          <w:bCs/>
          <w:szCs w:val="26"/>
        </w:rPr>
      </w:pPr>
      <w:r w:rsidRPr="00390A28">
        <w:rPr>
          <w:rFonts w:ascii="Times New Roman" w:hAnsi="Times New Roman" w:cs="Palatino"/>
          <w:b/>
          <w:bCs/>
          <w:szCs w:val="26"/>
        </w:rPr>
        <w:t xml:space="preserve">Right of Response </w:t>
      </w:r>
    </w:p>
    <w:p w14:paraId="40CFACBB" w14:textId="77777777" w:rsidR="00831BB3" w:rsidRPr="00390A28" w:rsidRDefault="00831BB3" w:rsidP="00DE7379">
      <w:pPr>
        <w:rPr>
          <w:rFonts w:ascii="Times New Roman" w:hAnsi="Times New Roman" w:cs="Palatino"/>
          <w:bCs/>
          <w:szCs w:val="26"/>
        </w:rPr>
      </w:pPr>
      <w:r w:rsidRPr="00390A28">
        <w:rPr>
          <w:rFonts w:ascii="Times New Roman" w:hAnsi="Times New Roman" w:cs="Palatino"/>
          <w:bCs/>
          <w:szCs w:val="26"/>
        </w:rPr>
        <w:t xml:space="preserve">Upon receipt of a notice of appeal, a respondent has 14 das to provide a written response to an appeal. </w:t>
      </w:r>
    </w:p>
    <w:p w14:paraId="7A225F97" w14:textId="77777777" w:rsidR="00831BB3" w:rsidRPr="00390A28" w:rsidRDefault="00390A28" w:rsidP="00DE7379">
      <w:pPr>
        <w:rPr>
          <w:rFonts w:ascii="Times New Roman" w:hAnsi="Times New Roman" w:cs="Palatino"/>
          <w:bCs/>
          <w:szCs w:val="26"/>
        </w:rPr>
      </w:pPr>
      <w:r>
        <w:rPr>
          <w:rFonts w:ascii="Times New Roman" w:hAnsi="Times New Roman" w:cs="Palatino"/>
          <w:bCs/>
          <w:szCs w:val="26"/>
        </w:rPr>
        <w:t xml:space="preserve">A written response </w:t>
      </w:r>
      <w:r w:rsidR="00831BB3" w:rsidRPr="00390A28">
        <w:rPr>
          <w:rFonts w:ascii="Times New Roman" w:hAnsi="Times New Roman" w:cs="Palatino"/>
          <w:bCs/>
          <w:szCs w:val="26"/>
        </w:rPr>
        <w:t xml:space="preserve">needs to be filed with the ITNJ and served upon the Appellant. </w:t>
      </w:r>
    </w:p>
    <w:p w14:paraId="13BA2602" w14:textId="77777777" w:rsidR="00831BB3" w:rsidRPr="00390A28" w:rsidRDefault="00831BB3" w:rsidP="00DE7379">
      <w:pPr>
        <w:rPr>
          <w:rFonts w:ascii="Times New Roman" w:hAnsi="Times New Roman" w:cs="Palatino"/>
          <w:bCs/>
          <w:szCs w:val="26"/>
        </w:rPr>
      </w:pPr>
      <w:r w:rsidRPr="00390A28">
        <w:rPr>
          <w:rFonts w:ascii="Times New Roman" w:hAnsi="Times New Roman" w:cs="Palatino"/>
          <w:bCs/>
          <w:szCs w:val="26"/>
        </w:rPr>
        <w:t>The respondent’s response should set out the reasons that the Application</w:t>
      </w:r>
      <w:r w:rsidR="00390A28">
        <w:rPr>
          <w:rFonts w:ascii="Times New Roman" w:hAnsi="Times New Roman" w:cs="Palatino"/>
          <w:bCs/>
          <w:szCs w:val="26"/>
        </w:rPr>
        <w:t xml:space="preserve"> for Appeal should be refused, </w:t>
      </w:r>
      <w:r w:rsidRPr="00390A28">
        <w:rPr>
          <w:rFonts w:ascii="Times New Roman" w:hAnsi="Times New Roman" w:cs="Palatino"/>
          <w:bCs/>
          <w:szCs w:val="26"/>
        </w:rPr>
        <w:t>as well as any terms upon which the Appeal should be allowed (i.e.</w:t>
      </w:r>
      <w:r w:rsidR="00CA2235" w:rsidRPr="00390A28">
        <w:rPr>
          <w:rFonts w:ascii="Times New Roman" w:hAnsi="Times New Roman" w:cs="Palatino"/>
          <w:bCs/>
          <w:szCs w:val="26"/>
        </w:rPr>
        <w:t xml:space="preserve"> </w:t>
      </w:r>
      <w:r w:rsidRPr="00390A28">
        <w:rPr>
          <w:rFonts w:ascii="Times New Roman" w:hAnsi="Times New Roman" w:cs="Palatino"/>
          <w:bCs/>
          <w:szCs w:val="26"/>
        </w:rPr>
        <w:t xml:space="preserve">costs, date, duration etc). </w:t>
      </w:r>
    </w:p>
    <w:p w14:paraId="6750E1D5" w14:textId="77777777" w:rsidR="00DE7379" w:rsidRPr="00390A28" w:rsidRDefault="00831BB3" w:rsidP="00DE7379">
      <w:pPr>
        <w:rPr>
          <w:rFonts w:ascii="Times New Roman" w:hAnsi="Times New Roman" w:cs="Palatino"/>
          <w:bCs/>
          <w:szCs w:val="26"/>
        </w:rPr>
      </w:pPr>
      <w:r w:rsidRPr="00390A28">
        <w:rPr>
          <w:rFonts w:ascii="Times New Roman" w:hAnsi="Times New Roman" w:cs="Palatino"/>
          <w:bCs/>
          <w:szCs w:val="26"/>
        </w:rPr>
        <w:lastRenderedPageBreak/>
        <w:t xml:space="preserve">After receipt of the respondent’s response, it is within the discretion of the ITNJ to request further submissions from the appellant. Where the ITNJ does not request further submissions, no such submissions will be considered. </w:t>
      </w:r>
    </w:p>
    <w:p w14:paraId="24F490AE" w14:textId="77777777" w:rsidR="005D7427" w:rsidRPr="00390A28" w:rsidRDefault="005D7427" w:rsidP="00DE7379">
      <w:pPr>
        <w:rPr>
          <w:rFonts w:ascii="Times New Roman" w:hAnsi="Times New Roman" w:cs="Palatino"/>
          <w:b/>
          <w:bCs/>
          <w:szCs w:val="26"/>
        </w:rPr>
      </w:pPr>
      <w:r w:rsidRPr="00390A28">
        <w:rPr>
          <w:rFonts w:ascii="Times New Roman" w:hAnsi="Times New Roman" w:cs="Palatino"/>
          <w:b/>
          <w:bCs/>
          <w:szCs w:val="26"/>
        </w:rPr>
        <w:t>Granting an Appeal “On Terms”</w:t>
      </w:r>
    </w:p>
    <w:p w14:paraId="555F370E" w14:textId="77777777" w:rsidR="00710204" w:rsidRPr="00390A28" w:rsidRDefault="00710204" w:rsidP="00DE7379">
      <w:pPr>
        <w:rPr>
          <w:rFonts w:ascii="Times New Roman" w:hAnsi="Times New Roman" w:cs="Palatino"/>
          <w:bCs/>
          <w:szCs w:val="26"/>
        </w:rPr>
      </w:pPr>
      <w:r w:rsidRPr="00390A28">
        <w:rPr>
          <w:rFonts w:ascii="Times New Roman" w:hAnsi="Times New Roman" w:cs="Palatino"/>
          <w:bCs/>
          <w:szCs w:val="26"/>
        </w:rPr>
        <w:t>The ITNJ will write to the appellant and the respondent advising of the terms</w:t>
      </w:r>
      <w:r w:rsidR="00390A28">
        <w:rPr>
          <w:rFonts w:ascii="Times New Roman" w:hAnsi="Times New Roman" w:cs="Palatino"/>
          <w:bCs/>
          <w:szCs w:val="26"/>
        </w:rPr>
        <w:t xml:space="preserve"> (if any)</w:t>
      </w:r>
      <w:r w:rsidRPr="00390A28">
        <w:rPr>
          <w:rFonts w:ascii="Times New Roman" w:hAnsi="Times New Roman" w:cs="Palatino"/>
          <w:bCs/>
          <w:szCs w:val="26"/>
        </w:rPr>
        <w:t xml:space="preserve">. </w:t>
      </w:r>
    </w:p>
    <w:p w14:paraId="40CFF7BE" w14:textId="77777777" w:rsidR="00710204" w:rsidRPr="00390A28" w:rsidRDefault="00710204" w:rsidP="00DE7379">
      <w:pPr>
        <w:rPr>
          <w:rFonts w:ascii="Times New Roman" w:hAnsi="Times New Roman" w:cs="Palatino"/>
          <w:b/>
          <w:bCs/>
          <w:szCs w:val="26"/>
        </w:rPr>
      </w:pPr>
      <w:r w:rsidRPr="00390A28">
        <w:rPr>
          <w:rFonts w:ascii="Times New Roman" w:hAnsi="Times New Roman" w:cs="Palatino"/>
          <w:b/>
          <w:bCs/>
          <w:szCs w:val="26"/>
        </w:rPr>
        <w:t>Applicat</w:t>
      </w:r>
      <w:r w:rsidR="00F9176A">
        <w:rPr>
          <w:rFonts w:ascii="Times New Roman" w:hAnsi="Times New Roman" w:cs="Palatino"/>
          <w:b/>
          <w:bCs/>
          <w:szCs w:val="26"/>
        </w:rPr>
        <w:t>ion R</w:t>
      </w:r>
      <w:r w:rsidRPr="00390A28">
        <w:rPr>
          <w:rFonts w:ascii="Times New Roman" w:hAnsi="Times New Roman" w:cs="Palatino"/>
          <w:b/>
          <w:bCs/>
          <w:szCs w:val="26"/>
        </w:rPr>
        <w:t xml:space="preserve">eferred for Oral Hearing </w:t>
      </w:r>
    </w:p>
    <w:p w14:paraId="055FFDD5" w14:textId="77777777" w:rsidR="00710204" w:rsidRPr="00390A28" w:rsidRDefault="00710204" w:rsidP="00DE7379">
      <w:pPr>
        <w:rPr>
          <w:rFonts w:ascii="Times New Roman" w:hAnsi="Times New Roman" w:cs="Palatino"/>
          <w:bCs/>
          <w:szCs w:val="26"/>
        </w:rPr>
      </w:pPr>
      <w:proofErr w:type="gramStart"/>
      <w:r w:rsidRPr="00390A28">
        <w:rPr>
          <w:rFonts w:ascii="Times New Roman" w:hAnsi="Times New Roman" w:cs="Palatino"/>
          <w:bCs/>
          <w:szCs w:val="26"/>
        </w:rPr>
        <w:t>In cases where the appeal cannot be considered “on paper”, the appeal will be referred for oral hearing.</w:t>
      </w:r>
      <w:proofErr w:type="gramEnd"/>
      <w:r w:rsidRPr="00390A28">
        <w:rPr>
          <w:rFonts w:ascii="Times New Roman" w:hAnsi="Times New Roman" w:cs="Palatino"/>
          <w:bCs/>
          <w:szCs w:val="26"/>
        </w:rPr>
        <w:t xml:space="preserve"> Both parties will be notified of the hearing date by the ITNJ. </w:t>
      </w:r>
    </w:p>
    <w:p w14:paraId="4E9984A2" w14:textId="77777777" w:rsidR="00710204" w:rsidRPr="00390A28" w:rsidRDefault="00710204" w:rsidP="00DE7379">
      <w:pPr>
        <w:rPr>
          <w:rFonts w:ascii="Times New Roman" w:hAnsi="Times New Roman" w:cs="Palatino"/>
          <w:b/>
          <w:bCs/>
          <w:szCs w:val="26"/>
        </w:rPr>
      </w:pPr>
    </w:p>
    <w:p w14:paraId="728213CA" w14:textId="77777777" w:rsidR="00DE7379" w:rsidRPr="00390A28" w:rsidRDefault="00DE7379" w:rsidP="00DE7379">
      <w:pPr>
        <w:rPr>
          <w:rFonts w:ascii="Times New Roman" w:hAnsi="Times New Roman" w:cs="Palatino"/>
          <w:bCs/>
          <w:szCs w:val="26"/>
        </w:rPr>
      </w:pPr>
    </w:p>
    <w:p w14:paraId="033E1D87" w14:textId="77777777" w:rsidR="00DE7379" w:rsidRPr="00390A28" w:rsidRDefault="00DE7379" w:rsidP="00DE7379">
      <w:pPr>
        <w:tabs>
          <w:tab w:val="left" w:pos="2544"/>
        </w:tabs>
        <w:rPr>
          <w:rFonts w:ascii="Times New Roman" w:hAnsi="Times New Roman"/>
        </w:rPr>
      </w:pPr>
      <w:r w:rsidRPr="00390A28">
        <w:rPr>
          <w:rFonts w:ascii="Times New Roman" w:hAnsi="Times New Roman"/>
        </w:rPr>
        <w:tab/>
      </w:r>
    </w:p>
    <w:sectPr w:rsidR="00DE7379" w:rsidRPr="00390A28" w:rsidSect="00DE7379">
      <w:pgSz w:w="11900" w:h="16840"/>
      <w:pgMar w:top="2127"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79"/>
    <w:rsid w:val="00093AB8"/>
    <w:rsid w:val="000B7DFD"/>
    <w:rsid w:val="00265030"/>
    <w:rsid w:val="002B6F41"/>
    <w:rsid w:val="00362BAE"/>
    <w:rsid w:val="00390A28"/>
    <w:rsid w:val="005D7427"/>
    <w:rsid w:val="006E651B"/>
    <w:rsid w:val="00710204"/>
    <w:rsid w:val="0079324A"/>
    <w:rsid w:val="00831BB3"/>
    <w:rsid w:val="008A6573"/>
    <w:rsid w:val="00AA6C51"/>
    <w:rsid w:val="00CA2235"/>
    <w:rsid w:val="00DE7379"/>
    <w:rsid w:val="00E97E5A"/>
    <w:rsid w:val="00F70B2D"/>
    <w:rsid w:val="00F72424"/>
    <w:rsid w:val="00F9176A"/>
    <w:rsid w:val="00FF158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6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Macintosh Word</Application>
  <DocSecurity>0</DocSecurity>
  <Lines>17</Lines>
  <Paragraphs>4</Paragraphs>
  <ScaleCrop>false</ScaleCrop>
  <Company>University of Wollongong</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Anderson</dc:creator>
  <cp:keywords/>
  <cp:lastModifiedBy>Julie-Anne Pho</cp:lastModifiedBy>
  <cp:revision>3</cp:revision>
  <dcterms:created xsi:type="dcterms:W3CDTF">2015-10-08T22:17:00Z</dcterms:created>
  <dcterms:modified xsi:type="dcterms:W3CDTF">2015-10-09T01:22:00Z</dcterms:modified>
</cp:coreProperties>
</file>